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DA66" w14:textId="77777777" w:rsidR="00836939" w:rsidRPr="00836939" w:rsidRDefault="00836939" w:rsidP="00836939">
      <w:pPr>
        <w:spacing w:after="150" w:line="360" w:lineRule="auto"/>
        <w:jc w:val="center"/>
        <w:rPr>
          <w:rFonts w:eastAsia="Times New Roman" w:cs="Times New Roman"/>
          <w:color w:val="555555"/>
          <w:szCs w:val="24"/>
          <w:lang w:eastAsia="es-CO"/>
        </w:rPr>
      </w:pPr>
      <w:r w:rsidRPr="00836939">
        <w:rPr>
          <w:rFonts w:eastAsia="Times New Roman" w:cs="Times New Roman"/>
          <w:b/>
          <w:bCs/>
          <w:color w:val="0000FF"/>
          <w:szCs w:val="24"/>
          <w:lang w:eastAsia="es-CO"/>
        </w:rPr>
        <w:t xml:space="preserve">OFICIO </w:t>
      </w:r>
      <w:proofErr w:type="spellStart"/>
      <w:r w:rsidRPr="00836939">
        <w:rPr>
          <w:rFonts w:eastAsia="Times New Roman" w:cs="Times New Roman"/>
          <w:b/>
          <w:bCs/>
          <w:color w:val="0000FF"/>
          <w:szCs w:val="24"/>
          <w:lang w:eastAsia="es-CO"/>
        </w:rPr>
        <w:t>Nº</w:t>
      </w:r>
      <w:proofErr w:type="spellEnd"/>
      <w:r w:rsidRPr="00836939">
        <w:rPr>
          <w:rFonts w:eastAsia="Times New Roman" w:cs="Times New Roman"/>
          <w:b/>
          <w:bCs/>
          <w:color w:val="0000FF"/>
          <w:szCs w:val="24"/>
          <w:lang w:eastAsia="es-CO"/>
        </w:rPr>
        <w:t xml:space="preserve"> 583 [903708]</w:t>
      </w:r>
    </w:p>
    <w:p w14:paraId="244F7E55" w14:textId="77777777" w:rsidR="00836939" w:rsidRPr="00836939" w:rsidRDefault="00836939" w:rsidP="00836939">
      <w:pPr>
        <w:spacing w:after="150" w:line="360" w:lineRule="auto"/>
        <w:jc w:val="center"/>
        <w:rPr>
          <w:rFonts w:eastAsia="Times New Roman" w:cs="Times New Roman"/>
          <w:color w:val="555555"/>
          <w:szCs w:val="24"/>
          <w:lang w:eastAsia="es-CO"/>
        </w:rPr>
      </w:pPr>
      <w:r w:rsidRPr="00836939">
        <w:rPr>
          <w:rFonts w:eastAsia="Times New Roman" w:cs="Times New Roman"/>
          <w:b/>
          <w:bCs/>
          <w:color w:val="0000FF"/>
          <w:szCs w:val="24"/>
          <w:lang w:eastAsia="es-CO"/>
        </w:rPr>
        <w:t>13-05-2022</w:t>
      </w:r>
    </w:p>
    <w:p w14:paraId="18AE3F59" w14:textId="77777777" w:rsidR="00836939" w:rsidRPr="00836939" w:rsidRDefault="00836939" w:rsidP="00836939">
      <w:pPr>
        <w:spacing w:after="150" w:line="360" w:lineRule="auto"/>
        <w:jc w:val="center"/>
        <w:rPr>
          <w:rFonts w:eastAsia="Times New Roman" w:cs="Times New Roman"/>
          <w:color w:val="555555"/>
          <w:szCs w:val="24"/>
          <w:lang w:eastAsia="es-CO"/>
        </w:rPr>
      </w:pPr>
      <w:r w:rsidRPr="00836939">
        <w:rPr>
          <w:rFonts w:eastAsia="Times New Roman" w:cs="Times New Roman"/>
          <w:b/>
          <w:bCs/>
          <w:color w:val="0000FF"/>
          <w:szCs w:val="24"/>
          <w:lang w:eastAsia="es-CO"/>
        </w:rPr>
        <w:t>DIAN</w:t>
      </w:r>
    </w:p>
    <w:p w14:paraId="6FC10335"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5AA50C34"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08D1FBCA"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Subdirección de Normativa y Doctrina</w:t>
      </w:r>
    </w:p>
    <w:p w14:paraId="7AB52023"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100208192-583</w:t>
      </w:r>
    </w:p>
    <w:p w14:paraId="119EE1EB"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Bogotá, D.C.</w:t>
      </w:r>
    </w:p>
    <w:p w14:paraId="174DA9F3"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197D7DE3" w14:textId="77777777" w:rsidR="00836939" w:rsidRPr="00836939" w:rsidRDefault="00836939" w:rsidP="00836939">
      <w:pPr>
        <w:spacing w:after="285" w:line="360" w:lineRule="auto"/>
        <w:rPr>
          <w:rFonts w:eastAsia="Times New Roman" w:cs="Times New Roman"/>
          <w:color w:val="555555"/>
          <w:szCs w:val="24"/>
          <w:lang w:eastAsia="es-CO"/>
        </w:rPr>
      </w:pPr>
      <w:r w:rsidRPr="00836939">
        <w:rPr>
          <w:rFonts w:eastAsia="Times New Roman" w:cs="Times New Roman"/>
          <w:color w:val="555555"/>
          <w:szCs w:val="24"/>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1922"/>
        <w:gridCol w:w="270"/>
        <w:gridCol w:w="270"/>
        <w:gridCol w:w="6894"/>
      </w:tblGrid>
      <w:tr w:rsidR="00836939" w:rsidRPr="00836939" w14:paraId="20CAC0C4" w14:textId="77777777" w:rsidTr="00836939">
        <w:tc>
          <w:tcPr>
            <w:tcW w:w="1935" w:type="dxa"/>
            <w:shd w:val="clear" w:color="auto" w:fill="auto"/>
            <w:tcMar>
              <w:top w:w="0" w:type="dxa"/>
              <w:left w:w="105" w:type="dxa"/>
              <w:bottom w:w="0" w:type="dxa"/>
              <w:right w:w="105" w:type="dxa"/>
            </w:tcMar>
            <w:hideMark/>
          </w:tcPr>
          <w:p w14:paraId="7E532030"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b/>
                <w:bCs/>
                <w:szCs w:val="24"/>
                <w:lang w:eastAsia="es-CO"/>
              </w:rPr>
              <w:t>Tema:</w:t>
            </w:r>
          </w:p>
        </w:tc>
        <w:tc>
          <w:tcPr>
            <w:tcW w:w="240" w:type="dxa"/>
            <w:shd w:val="clear" w:color="auto" w:fill="auto"/>
            <w:tcMar>
              <w:top w:w="0" w:type="dxa"/>
              <w:left w:w="105" w:type="dxa"/>
              <w:bottom w:w="0" w:type="dxa"/>
              <w:right w:w="105" w:type="dxa"/>
            </w:tcMar>
            <w:hideMark/>
          </w:tcPr>
          <w:p w14:paraId="5606D084"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5E7A3430"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7080" w:type="dxa"/>
            <w:shd w:val="clear" w:color="auto" w:fill="auto"/>
            <w:tcMar>
              <w:top w:w="0" w:type="dxa"/>
              <w:left w:w="105" w:type="dxa"/>
              <w:bottom w:w="0" w:type="dxa"/>
              <w:right w:w="105" w:type="dxa"/>
            </w:tcMar>
            <w:hideMark/>
          </w:tcPr>
          <w:p w14:paraId="11310648"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Impuesto sobre la renta y complementarios</w:t>
            </w:r>
          </w:p>
        </w:tc>
      </w:tr>
      <w:tr w:rsidR="00836939" w:rsidRPr="00836939" w14:paraId="19C9859A" w14:textId="77777777" w:rsidTr="00836939">
        <w:tc>
          <w:tcPr>
            <w:tcW w:w="1935" w:type="dxa"/>
            <w:shd w:val="clear" w:color="auto" w:fill="auto"/>
            <w:tcMar>
              <w:top w:w="0" w:type="dxa"/>
              <w:left w:w="105" w:type="dxa"/>
              <w:bottom w:w="0" w:type="dxa"/>
              <w:right w:w="105" w:type="dxa"/>
            </w:tcMar>
            <w:hideMark/>
          </w:tcPr>
          <w:p w14:paraId="1D51D30E"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b/>
                <w:bCs/>
                <w:szCs w:val="24"/>
                <w:lang w:eastAsia="es-CO"/>
              </w:rPr>
              <w:t>Descriptores:</w:t>
            </w:r>
          </w:p>
        </w:tc>
        <w:tc>
          <w:tcPr>
            <w:tcW w:w="240" w:type="dxa"/>
            <w:shd w:val="clear" w:color="auto" w:fill="auto"/>
            <w:tcMar>
              <w:top w:w="0" w:type="dxa"/>
              <w:left w:w="105" w:type="dxa"/>
              <w:bottom w:w="0" w:type="dxa"/>
              <w:right w:w="105" w:type="dxa"/>
            </w:tcMar>
            <w:hideMark/>
          </w:tcPr>
          <w:p w14:paraId="671A8E3C"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00CF7EF3"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7080" w:type="dxa"/>
            <w:shd w:val="clear" w:color="auto" w:fill="auto"/>
            <w:tcMar>
              <w:top w:w="0" w:type="dxa"/>
              <w:left w:w="105" w:type="dxa"/>
              <w:bottom w:w="0" w:type="dxa"/>
              <w:right w:w="105" w:type="dxa"/>
            </w:tcMar>
            <w:hideMark/>
          </w:tcPr>
          <w:p w14:paraId="3345DA03"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Régimen de Compañías Holding Colombianas – CHC</w:t>
            </w:r>
          </w:p>
        </w:tc>
      </w:tr>
      <w:tr w:rsidR="00836939" w:rsidRPr="00836939" w14:paraId="1CB6F31D" w14:textId="77777777" w:rsidTr="00836939">
        <w:tc>
          <w:tcPr>
            <w:tcW w:w="1935" w:type="dxa"/>
            <w:shd w:val="clear" w:color="auto" w:fill="auto"/>
            <w:tcMar>
              <w:top w:w="0" w:type="dxa"/>
              <w:left w:w="105" w:type="dxa"/>
              <w:bottom w:w="0" w:type="dxa"/>
              <w:right w:w="105" w:type="dxa"/>
            </w:tcMar>
            <w:hideMark/>
          </w:tcPr>
          <w:p w14:paraId="6317221F"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b/>
                <w:bCs/>
                <w:szCs w:val="24"/>
                <w:lang w:eastAsia="es-CO"/>
              </w:rPr>
              <w:t>Fuentes formales:</w:t>
            </w:r>
          </w:p>
        </w:tc>
        <w:tc>
          <w:tcPr>
            <w:tcW w:w="240" w:type="dxa"/>
            <w:shd w:val="clear" w:color="auto" w:fill="auto"/>
            <w:tcMar>
              <w:top w:w="0" w:type="dxa"/>
              <w:left w:w="105" w:type="dxa"/>
              <w:bottom w:w="0" w:type="dxa"/>
              <w:right w:w="105" w:type="dxa"/>
            </w:tcMar>
            <w:hideMark/>
          </w:tcPr>
          <w:p w14:paraId="0984F82A"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4D310679"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 </w:t>
            </w:r>
          </w:p>
        </w:tc>
        <w:tc>
          <w:tcPr>
            <w:tcW w:w="7080" w:type="dxa"/>
            <w:shd w:val="clear" w:color="auto" w:fill="auto"/>
            <w:tcMar>
              <w:top w:w="0" w:type="dxa"/>
              <w:left w:w="105" w:type="dxa"/>
              <w:bottom w:w="0" w:type="dxa"/>
              <w:right w:w="105" w:type="dxa"/>
            </w:tcMar>
            <w:hideMark/>
          </w:tcPr>
          <w:p w14:paraId="6CD23808" w14:textId="77777777" w:rsidR="00836939" w:rsidRPr="00836939" w:rsidRDefault="00836939" w:rsidP="00836939">
            <w:pPr>
              <w:spacing w:after="150" w:line="360" w:lineRule="auto"/>
              <w:jc w:val="both"/>
              <w:rPr>
                <w:rFonts w:eastAsia="Times New Roman" w:cs="Times New Roman"/>
                <w:szCs w:val="24"/>
                <w:lang w:eastAsia="es-CO"/>
              </w:rPr>
            </w:pPr>
            <w:r w:rsidRPr="00836939">
              <w:rPr>
                <w:rFonts w:eastAsia="Times New Roman" w:cs="Times New Roman"/>
                <w:szCs w:val="24"/>
                <w:lang w:eastAsia="es-CO"/>
              </w:rPr>
              <w:t>Artículo 894 del Estatuto Tributario</w:t>
            </w:r>
          </w:p>
          <w:p w14:paraId="57BC7035" w14:textId="77777777" w:rsidR="00836939" w:rsidRPr="00836939" w:rsidRDefault="00836939" w:rsidP="00836939">
            <w:pPr>
              <w:spacing w:after="150" w:line="360" w:lineRule="auto"/>
              <w:jc w:val="both"/>
              <w:rPr>
                <w:rFonts w:eastAsia="Times New Roman" w:cs="Times New Roman"/>
                <w:szCs w:val="24"/>
                <w:lang w:eastAsia="es-CO"/>
              </w:rPr>
            </w:pPr>
            <w:r w:rsidRPr="00836939">
              <w:rPr>
                <w:rFonts w:eastAsia="Times New Roman" w:cs="Times New Roman"/>
                <w:szCs w:val="24"/>
                <w:lang w:eastAsia="es-CO"/>
              </w:rPr>
              <w:t>Artículo 1.2.1.23.3.1. del Decreto 1625 de 2016</w:t>
            </w:r>
          </w:p>
          <w:p w14:paraId="73299145" w14:textId="77777777" w:rsidR="00836939" w:rsidRPr="00836939" w:rsidRDefault="00836939" w:rsidP="00836939">
            <w:pPr>
              <w:spacing w:after="0" w:line="360" w:lineRule="auto"/>
              <w:jc w:val="both"/>
              <w:rPr>
                <w:rFonts w:eastAsia="Times New Roman" w:cs="Times New Roman"/>
                <w:szCs w:val="24"/>
                <w:lang w:eastAsia="es-CO"/>
              </w:rPr>
            </w:pPr>
            <w:r w:rsidRPr="00836939">
              <w:rPr>
                <w:rFonts w:eastAsia="Times New Roman" w:cs="Times New Roman"/>
                <w:szCs w:val="24"/>
                <w:lang w:eastAsia="es-CO"/>
              </w:rPr>
              <w:t>Corte Constitucional, M.P. MARÍA VICTORIA CALLE CORREA, Sentencia C-287/12</w:t>
            </w:r>
          </w:p>
        </w:tc>
      </w:tr>
    </w:tbl>
    <w:p w14:paraId="31995A81"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6331DED4"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0B3E4E4D"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Cordial saludo,</w:t>
      </w:r>
    </w:p>
    <w:p w14:paraId="704E86EF"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0F9B6A0D"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8402580"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2FEB82DB"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Mediante el radicado de la referencia, el peticionario plantea que una sociedad nacional (A) tiene una participación mayor al 10% en otra sociedad nacional (B), así como que es miembro fundador de una fundación colombiana (C), en ambos casos hace más de 12 meses.</w:t>
      </w:r>
    </w:p>
    <w:p w14:paraId="7907DFDA"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3E23954C"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lastRenderedPageBreak/>
        <w:t>Con base en ello, consulta </w:t>
      </w:r>
      <w:r w:rsidRPr="00836939">
        <w:rPr>
          <w:rFonts w:eastAsia="Times New Roman" w:cs="Times New Roman"/>
          <w:i/>
          <w:iCs/>
          <w:color w:val="555555"/>
          <w:szCs w:val="24"/>
          <w:lang w:eastAsia="es-CO"/>
        </w:rPr>
        <w:t>“si a la luz del numeral primero del artículo 894 de Estatuto Tributario, </w:t>
      </w:r>
      <w:r w:rsidRPr="00836939">
        <w:rPr>
          <w:rFonts w:eastAsia="Times New Roman" w:cs="Times New Roman"/>
          <w:i/>
          <w:iCs/>
          <w:color w:val="555555"/>
          <w:szCs w:val="24"/>
          <w:u w:val="single"/>
          <w:lang w:eastAsia="es-CO"/>
        </w:rPr>
        <w:t>una fundación podría entrar dentro de la definición de ‘Entidades’</w:t>
      </w:r>
      <w:r w:rsidRPr="00836939">
        <w:rPr>
          <w:rFonts w:eastAsia="Times New Roman" w:cs="Times New Roman"/>
          <w:i/>
          <w:iCs/>
          <w:color w:val="555555"/>
          <w:szCs w:val="24"/>
          <w:lang w:eastAsia="es-CO"/>
        </w:rPr>
        <w:t>, y, por lo tanto, dicha participación en una fundación como miembro fundador, en conjunto con la participación en otra sociedad con más del 10%, </w:t>
      </w:r>
      <w:r w:rsidRPr="00836939">
        <w:rPr>
          <w:rFonts w:eastAsia="Times New Roman" w:cs="Times New Roman"/>
          <w:i/>
          <w:iCs/>
          <w:color w:val="555555"/>
          <w:szCs w:val="24"/>
          <w:u w:val="single"/>
          <w:lang w:eastAsia="es-CO"/>
        </w:rPr>
        <w:t>podría dar por sentado el cumplimiento de los requisitos enumerados en el numeral</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antes mencionado</w:t>
      </w:r>
      <w:r w:rsidRPr="00836939">
        <w:rPr>
          <w:rFonts w:eastAsia="Times New Roman" w:cs="Times New Roman"/>
          <w:i/>
          <w:iCs/>
          <w:color w:val="555555"/>
          <w:szCs w:val="24"/>
          <w:lang w:eastAsia="es-CO"/>
        </w:rPr>
        <w:t>” </w:t>
      </w:r>
      <w:r w:rsidRPr="00836939">
        <w:rPr>
          <w:rFonts w:eastAsia="Times New Roman" w:cs="Times New Roman"/>
          <w:color w:val="555555"/>
          <w:szCs w:val="24"/>
          <w:lang w:eastAsia="es-CO"/>
        </w:rPr>
        <w:t>(subrayado fuera de texto)</w:t>
      </w:r>
      <w:r w:rsidRPr="00836939">
        <w:rPr>
          <w:rFonts w:eastAsia="Times New Roman" w:cs="Times New Roman"/>
          <w:i/>
          <w:iCs/>
          <w:color w:val="555555"/>
          <w:szCs w:val="24"/>
          <w:lang w:eastAsia="es-CO"/>
        </w:rPr>
        <w:t>.</w:t>
      </w:r>
    </w:p>
    <w:p w14:paraId="76235C0C"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458F3796"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Sobre el particular, son consideraciones de esta Subdirección:</w:t>
      </w:r>
    </w:p>
    <w:p w14:paraId="22545FD1"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19ECA51A"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1. En aras de optar por acogerse al régimen de Compañías Holding Colombianas (CHC) en el impuesto sobre la renta y ganancias ocasionales, el artículo 894 del Estatuto Tributario impone una serie de condiciones que deben satisfacer las sociedades nacionales </w:t>
      </w:r>
      <w:r w:rsidRPr="00836939">
        <w:rPr>
          <w:rFonts w:eastAsia="Times New Roman" w:cs="Times New Roman"/>
          <w:i/>
          <w:iCs/>
          <w:color w:val="555555"/>
          <w:szCs w:val="24"/>
          <w:lang w:eastAsia="es-CO"/>
        </w:rPr>
        <w:t>“que tengan como una de sus actividades principales la tenencia de valores, la inversión o holding de acciones o participaciones en sociedades o entidades colombianas y/o del exterior, y/o la administración de dichas inversiones”</w:t>
      </w:r>
      <w:r w:rsidRPr="00836939">
        <w:rPr>
          <w:rFonts w:eastAsia="Times New Roman" w:cs="Times New Roman"/>
          <w:color w:val="555555"/>
          <w:szCs w:val="24"/>
          <w:lang w:eastAsia="es-CO"/>
        </w:rPr>
        <w:t>.</w:t>
      </w:r>
    </w:p>
    <w:p w14:paraId="2686978F"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14711CDF"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Una de tales condiciones consiste en la </w:t>
      </w:r>
      <w:r w:rsidRPr="00836939">
        <w:rPr>
          <w:rFonts w:eastAsia="Times New Roman" w:cs="Times New Roman"/>
          <w:i/>
          <w:iCs/>
          <w:color w:val="555555"/>
          <w:szCs w:val="24"/>
          <w:lang w:eastAsia="es-CO"/>
        </w:rPr>
        <w:t>“</w:t>
      </w:r>
      <w:r w:rsidRPr="00836939">
        <w:rPr>
          <w:rFonts w:eastAsia="Times New Roman" w:cs="Times New Roman"/>
          <w:i/>
          <w:iCs/>
          <w:color w:val="555555"/>
          <w:szCs w:val="24"/>
          <w:u w:val="single"/>
          <w:lang w:eastAsia="es-CO"/>
        </w:rPr>
        <w:t>Participación directa o indirecta en al menos el 10%</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del capital</w:t>
      </w:r>
      <w:r w:rsidRPr="00836939">
        <w:rPr>
          <w:rFonts w:eastAsia="Times New Roman" w:cs="Times New Roman"/>
          <w:i/>
          <w:iCs/>
          <w:color w:val="555555"/>
          <w:szCs w:val="24"/>
          <w:lang w:eastAsia="es-CO"/>
        </w:rPr>
        <w:t> de dos o </w:t>
      </w:r>
      <w:r w:rsidRPr="00836939">
        <w:rPr>
          <w:rFonts w:eastAsia="Times New Roman" w:cs="Times New Roman"/>
          <w:i/>
          <w:iCs/>
          <w:color w:val="555555"/>
          <w:szCs w:val="24"/>
          <w:u w:val="single"/>
          <w:lang w:eastAsia="es-CO"/>
        </w:rPr>
        <w:t>más sociedades o entidades</w:t>
      </w:r>
      <w:r w:rsidRPr="00836939">
        <w:rPr>
          <w:rFonts w:eastAsia="Times New Roman" w:cs="Times New Roman"/>
          <w:i/>
          <w:iCs/>
          <w:color w:val="555555"/>
          <w:szCs w:val="24"/>
          <w:lang w:eastAsia="es-CO"/>
        </w:rPr>
        <w:t> colombianas y/o extranjeras por un período mínimo de 12 meses” </w:t>
      </w:r>
      <w:r w:rsidRPr="00836939">
        <w:rPr>
          <w:rFonts w:eastAsia="Times New Roman" w:cs="Times New Roman"/>
          <w:color w:val="555555"/>
          <w:szCs w:val="24"/>
          <w:lang w:eastAsia="es-CO"/>
        </w:rPr>
        <w:t>(subrayado fuera de texto) (cfr. numeral 1 de la citada disposición).</w:t>
      </w:r>
    </w:p>
    <w:p w14:paraId="526D5B45"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4853521D"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2. El artículo 1.2.1.23.3.1. del Decreto 1625 de 2016 se refiere -en común- a la participación directa e indirecta como </w:t>
      </w:r>
      <w:r w:rsidRPr="00836939">
        <w:rPr>
          <w:rFonts w:eastAsia="Times New Roman" w:cs="Times New Roman"/>
          <w:i/>
          <w:iCs/>
          <w:color w:val="555555"/>
          <w:szCs w:val="24"/>
          <w:lang w:eastAsia="es-CO"/>
        </w:rPr>
        <w:t>“La </w:t>
      </w:r>
      <w:r w:rsidRPr="00836939">
        <w:rPr>
          <w:rFonts w:eastAsia="Times New Roman" w:cs="Times New Roman"/>
          <w:i/>
          <w:iCs/>
          <w:color w:val="555555"/>
          <w:szCs w:val="24"/>
          <w:u w:val="single"/>
          <w:lang w:eastAsia="es-CO"/>
        </w:rPr>
        <w:t>inversión</w:t>
      </w:r>
      <w:r w:rsidRPr="00836939">
        <w:rPr>
          <w:rFonts w:eastAsia="Times New Roman" w:cs="Times New Roman"/>
          <w:i/>
          <w:iCs/>
          <w:color w:val="555555"/>
          <w:szCs w:val="24"/>
          <w:lang w:eastAsia="es-CO"/>
        </w:rPr>
        <w:t> representada en </w:t>
      </w:r>
      <w:r w:rsidRPr="00836939">
        <w:rPr>
          <w:rFonts w:eastAsia="Times New Roman" w:cs="Times New Roman"/>
          <w:i/>
          <w:iCs/>
          <w:color w:val="555555"/>
          <w:szCs w:val="24"/>
          <w:u w:val="single"/>
          <w:lang w:eastAsia="es-CO"/>
        </w:rPr>
        <w:t>acciones</w:t>
      </w:r>
      <w:r w:rsidRPr="00836939">
        <w:rPr>
          <w:rFonts w:eastAsia="Times New Roman" w:cs="Times New Roman"/>
          <w:i/>
          <w:iCs/>
          <w:color w:val="555555"/>
          <w:szCs w:val="24"/>
          <w:lang w:eastAsia="es-CO"/>
        </w:rPr>
        <w:t> o </w:t>
      </w:r>
      <w:r w:rsidRPr="00836939">
        <w:rPr>
          <w:rFonts w:eastAsia="Times New Roman" w:cs="Times New Roman"/>
          <w:i/>
          <w:iCs/>
          <w:color w:val="555555"/>
          <w:szCs w:val="24"/>
          <w:u w:val="single"/>
          <w:lang w:eastAsia="es-CO"/>
        </w:rPr>
        <w:t>participaciones</w:t>
      </w:r>
      <w:r w:rsidRPr="00836939">
        <w:rPr>
          <w:rFonts w:eastAsia="Times New Roman" w:cs="Times New Roman"/>
          <w:i/>
          <w:iCs/>
          <w:color w:val="555555"/>
          <w:szCs w:val="24"/>
          <w:lang w:eastAsia="es-CO"/>
        </w:rPr>
        <w:t>” </w:t>
      </w:r>
      <w:r w:rsidRPr="00836939">
        <w:rPr>
          <w:rFonts w:eastAsia="Times New Roman" w:cs="Times New Roman"/>
          <w:color w:val="555555"/>
          <w:szCs w:val="24"/>
          <w:lang w:eastAsia="es-CO"/>
        </w:rPr>
        <w:t>(subrayado fuera de texto) que tiene la CHC </w:t>
      </w:r>
      <w:r w:rsidRPr="00836939">
        <w:rPr>
          <w:rFonts w:eastAsia="Times New Roman" w:cs="Times New Roman"/>
          <w:i/>
          <w:iCs/>
          <w:color w:val="555555"/>
          <w:szCs w:val="24"/>
          <w:lang w:eastAsia="es-CO"/>
        </w:rPr>
        <w:t>“en el </w:t>
      </w:r>
      <w:r w:rsidRPr="00836939">
        <w:rPr>
          <w:rFonts w:eastAsia="Times New Roman" w:cs="Times New Roman"/>
          <w:i/>
          <w:iCs/>
          <w:color w:val="555555"/>
          <w:szCs w:val="24"/>
          <w:u w:val="single"/>
          <w:lang w:eastAsia="es-CO"/>
        </w:rPr>
        <w:t>capital</w:t>
      </w:r>
      <w:r w:rsidRPr="00836939">
        <w:rPr>
          <w:rFonts w:eastAsia="Times New Roman" w:cs="Times New Roman"/>
          <w:i/>
          <w:iCs/>
          <w:color w:val="555555"/>
          <w:szCs w:val="24"/>
          <w:lang w:eastAsia="es-CO"/>
        </w:rPr>
        <w:t> de otra </w:t>
      </w:r>
      <w:r w:rsidRPr="00836939">
        <w:rPr>
          <w:rFonts w:eastAsia="Times New Roman" w:cs="Times New Roman"/>
          <w:i/>
          <w:iCs/>
          <w:color w:val="555555"/>
          <w:szCs w:val="24"/>
          <w:u w:val="single"/>
          <w:lang w:eastAsia="es-CO"/>
        </w:rPr>
        <w:t>sociedad</w:t>
      </w:r>
      <w:r w:rsidRPr="00836939">
        <w:rPr>
          <w:rFonts w:eastAsia="Times New Roman" w:cs="Times New Roman"/>
          <w:i/>
          <w:iCs/>
          <w:color w:val="555555"/>
          <w:szCs w:val="24"/>
          <w:lang w:eastAsia="es-CO"/>
        </w:rPr>
        <w:t> o </w:t>
      </w:r>
      <w:r w:rsidRPr="00836939">
        <w:rPr>
          <w:rFonts w:eastAsia="Times New Roman" w:cs="Times New Roman"/>
          <w:i/>
          <w:iCs/>
          <w:color w:val="555555"/>
          <w:szCs w:val="24"/>
          <w:u w:val="single"/>
          <w:lang w:eastAsia="es-CO"/>
        </w:rPr>
        <w:t>entidad</w:t>
      </w:r>
      <w:r w:rsidRPr="00836939">
        <w:rPr>
          <w:rFonts w:eastAsia="Times New Roman" w:cs="Times New Roman"/>
          <w:i/>
          <w:iCs/>
          <w:color w:val="555555"/>
          <w:szCs w:val="24"/>
          <w:lang w:eastAsia="es-CO"/>
        </w:rPr>
        <w:t>” </w:t>
      </w:r>
      <w:r w:rsidRPr="00836939">
        <w:rPr>
          <w:rFonts w:eastAsia="Times New Roman" w:cs="Times New Roman"/>
          <w:color w:val="555555"/>
          <w:szCs w:val="24"/>
          <w:lang w:eastAsia="es-CO"/>
        </w:rPr>
        <w:t>(subrayado fuera de texto).</w:t>
      </w:r>
    </w:p>
    <w:p w14:paraId="3F81F987"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784E8575"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3. En la Sentencia C-287/12, la Corte Constitucional, M.P. MARÍA VICTORIA CALLE CORREA, explicó:</w:t>
      </w:r>
    </w:p>
    <w:p w14:paraId="7762DC67"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26AE41D9"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i/>
          <w:iCs/>
          <w:color w:val="555555"/>
          <w:szCs w:val="24"/>
          <w:lang w:eastAsia="es-CO"/>
        </w:rPr>
        <w:t>“Las corporaciones o asociaciones sin ánimo de lucro han sido definas por la doctrina como personas jurídicas que surgen de la voluntad de un grupo de individuos que </w:t>
      </w:r>
      <w:r w:rsidRPr="00836939">
        <w:rPr>
          <w:rFonts w:eastAsia="Times New Roman" w:cs="Times New Roman"/>
          <w:i/>
          <w:iCs/>
          <w:color w:val="555555"/>
          <w:szCs w:val="24"/>
          <w:u w:val="single"/>
          <w:lang w:eastAsia="es-CO"/>
        </w:rPr>
        <w:t>vinculan un capital a la obtención de un fin de interés general o de bienestar común</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no lucrativo</w:t>
      </w:r>
      <w:r w:rsidRPr="00836939">
        <w:rPr>
          <w:rFonts w:eastAsia="Times New Roman" w:cs="Times New Roman"/>
          <w:i/>
          <w:iCs/>
          <w:color w:val="555555"/>
          <w:szCs w:val="24"/>
          <w:lang w:eastAsia="es-CO"/>
        </w:rPr>
        <w:t>, de manera que tienen como finalidad propia la satisfacción de intereses públicos y sociales.</w:t>
      </w:r>
    </w:p>
    <w:p w14:paraId="0620E100"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36647532"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i/>
          <w:iCs/>
          <w:color w:val="555555"/>
          <w:szCs w:val="24"/>
          <w:lang w:eastAsia="es-CO"/>
        </w:rPr>
        <w:lastRenderedPageBreak/>
        <w:t xml:space="preserve">Sin embargo, el hecho que no persigan una finalidad </w:t>
      </w:r>
      <w:proofErr w:type="gramStart"/>
      <w:r w:rsidRPr="00836939">
        <w:rPr>
          <w:rFonts w:eastAsia="Times New Roman" w:cs="Times New Roman"/>
          <w:i/>
          <w:iCs/>
          <w:color w:val="555555"/>
          <w:szCs w:val="24"/>
          <w:lang w:eastAsia="es-CO"/>
        </w:rPr>
        <w:t>lucrativa,</w:t>
      </w:r>
      <w:proofErr w:type="gramEnd"/>
      <w:r w:rsidRPr="00836939">
        <w:rPr>
          <w:rFonts w:eastAsia="Times New Roman" w:cs="Times New Roman"/>
          <w:i/>
          <w:iCs/>
          <w:color w:val="555555"/>
          <w:szCs w:val="24"/>
          <w:lang w:eastAsia="es-CO"/>
        </w:rPr>
        <w:t xml:space="preserve"> no significa que no desarrollen actividades que generen utilidades, lo que pasa es que a diferencia de las sociedades, </w:t>
      </w:r>
      <w:r w:rsidRPr="00836939">
        <w:rPr>
          <w:rFonts w:eastAsia="Times New Roman" w:cs="Times New Roman"/>
          <w:i/>
          <w:iCs/>
          <w:color w:val="555555"/>
          <w:szCs w:val="24"/>
          <w:u w:val="single"/>
          <w:lang w:eastAsia="es-CO"/>
        </w:rPr>
        <w:t>el lucro o ganancia obtenida no se reparte entre sus miembros sino</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que se integra al patrimonio de la asociación para la obtención del fin deseado</w:t>
      </w:r>
      <w:r w:rsidRPr="00836939">
        <w:rPr>
          <w:rFonts w:eastAsia="Times New Roman" w:cs="Times New Roman"/>
          <w:i/>
          <w:iCs/>
          <w:color w:val="555555"/>
          <w:szCs w:val="24"/>
          <w:lang w:eastAsia="es-CO"/>
        </w:rPr>
        <w:t>. Así, el elemento característico de las corporaciones o asociaciones sin ánimo de lucro radica, precisamente, en la determinación de sus miembros de desarrollar una actividad de interés general </w:t>
      </w:r>
      <w:r w:rsidRPr="00836939">
        <w:rPr>
          <w:rFonts w:eastAsia="Times New Roman" w:cs="Times New Roman"/>
          <w:i/>
          <w:iCs/>
          <w:color w:val="555555"/>
          <w:szCs w:val="24"/>
          <w:u w:val="single"/>
          <w:lang w:eastAsia="es-CO"/>
        </w:rPr>
        <w:t>sin esperar a cambio repartición de utilidades en</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 xml:space="preserve">proporción a su aporte, ni la recuperación </w:t>
      </w:r>
      <w:proofErr w:type="gramStart"/>
      <w:r w:rsidRPr="00836939">
        <w:rPr>
          <w:rFonts w:eastAsia="Times New Roman" w:cs="Times New Roman"/>
          <w:i/>
          <w:iCs/>
          <w:color w:val="555555"/>
          <w:szCs w:val="24"/>
          <w:u w:val="single"/>
          <w:lang w:eastAsia="es-CO"/>
        </w:rPr>
        <w:t>del mismo</w:t>
      </w:r>
      <w:proofErr w:type="gramEnd"/>
      <w:r w:rsidRPr="00836939">
        <w:rPr>
          <w:rFonts w:eastAsia="Times New Roman" w:cs="Times New Roman"/>
          <w:i/>
          <w:iCs/>
          <w:color w:val="555555"/>
          <w:szCs w:val="24"/>
          <w:u w:val="single"/>
          <w:lang w:eastAsia="es-CO"/>
        </w:rPr>
        <w:t xml:space="preserve"> en el momento de su disolución</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o liquidación</w:t>
      </w:r>
      <w:r w:rsidRPr="00836939">
        <w:rPr>
          <w:rFonts w:eastAsia="Times New Roman" w:cs="Times New Roman"/>
          <w:i/>
          <w:iCs/>
          <w:color w:val="555555"/>
          <w:szCs w:val="24"/>
          <w:lang w:eastAsia="es-CO"/>
        </w:rPr>
        <w:t>.</w:t>
      </w:r>
    </w:p>
    <w:p w14:paraId="46F0E1D8"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2214FDC7" w14:textId="77777777" w:rsidR="00836939" w:rsidRPr="00836939" w:rsidRDefault="00836939" w:rsidP="00836939">
      <w:pPr>
        <w:spacing w:after="150" w:line="360" w:lineRule="auto"/>
        <w:ind w:left="285"/>
        <w:jc w:val="both"/>
        <w:rPr>
          <w:rFonts w:eastAsia="Times New Roman" w:cs="Times New Roman"/>
          <w:color w:val="555555"/>
          <w:szCs w:val="24"/>
          <w:lang w:eastAsia="es-CO"/>
        </w:rPr>
      </w:pPr>
      <w:r w:rsidRPr="00836939">
        <w:rPr>
          <w:rFonts w:eastAsia="Times New Roman" w:cs="Times New Roman"/>
          <w:i/>
          <w:iCs/>
          <w:color w:val="555555"/>
          <w:szCs w:val="24"/>
          <w:lang w:eastAsia="es-CO"/>
        </w:rPr>
        <w:t xml:space="preserve">Se debe precisar, que el ánimo de lucro no se relaciona con las utilidades obtenidas, sino con la destinación que se les otorgue, de manera que lo que diferencia a una entidad sin ánimo de lucro de una </w:t>
      </w:r>
      <w:proofErr w:type="gramStart"/>
      <w:r w:rsidRPr="00836939">
        <w:rPr>
          <w:rFonts w:eastAsia="Times New Roman" w:cs="Times New Roman"/>
          <w:i/>
          <w:iCs/>
          <w:color w:val="555555"/>
          <w:szCs w:val="24"/>
          <w:lang w:eastAsia="es-CO"/>
        </w:rPr>
        <w:t>que</w:t>
      </w:r>
      <w:proofErr w:type="gramEnd"/>
      <w:r w:rsidRPr="00836939">
        <w:rPr>
          <w:rFonts w:eastAsia="Times New Roman" w:cs="Times New Roman"/>
          <w:i/>
          <w:iCs/>
          <w:color w:val="555555"/>
          <w:szCs w:val="24"/>
          <w:lang w:eastAsia="es-CO"/>
        </w:rPr>
        <w:t xml:space="preserve"> si lo tiene, es que </w:t>
      </w:r>
      <w:r w:rsidRPr="00836939">
        <w:rPr>
          <w:rFonts w:eastAsia="Times New Roman" w:cs="Times New Roman"/>
          <w:i/>
          <w:iCs/>
          <w:color w:val="555555"/>
          <w:szCs w:val="24"/>
          <w:u w:val="single"/>
          <w:lang w:eastAsia="es-CO"/>
        </w:rPr>
        <w:t>las utilidades no pueden</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ser repartidas a sus miembros cuando se retiran, ni al final de cada ejercicio</w:t>
      </w:r>
      <w:r w:rsidRPr="00836939">
        <w:rPr>
          <w:rFonts w:eastAsia="Times New Roman" w:cs="Times New Roman"/>
          <w:i/>
          <w:iCs/>
          <w:color w:val="555555"/>
          <w:szCs w:val="24"/>
          <w:lang w:eastAsia="es-CO"/>
        </w:rPr>
        <w:t> </w:t>
      </w:r>
      <w:r w:rsidRPr="00836939">
        <w:rPr>
          <w:rFonts w:eastAsia="Times New Roman" w:cs="Times New Roman"/>
          <w:i/>
          <w:iCs/>
          <w:color w:val="555555"/>
          <w:szCs w:val="24"/>
          <w:u w:val="single"/>
          <w:lang w:eastAsia="es-CO"/>
        </w:rPr>
        <w:t>contable, ni cuando la entidad se liquida</w:t>
      </w:r>
      <w:r w:rsidRPr="00836939">
        <w:rPr>
          <w:rFonts w:eastAsia="Times New Roman" w:cs="Times New Roman"/>
          <w:i/>
          <w:iCs/>
          <w:color w:val="555555"/>
          <w:szCs w:val="24"/>
          <w:lang w:eastAsia="es-CO"/>
        </w:rPr>
        <w:t>. (…)”. </w:t>
      </w:r>
      <w:r w:rsidRPr="00836939">
        <w:rPr>
          <w:rFonts w:eastAsia="Times New Roman" w:cs="Times New Roman"/>
          <w:color w:val="555555"/>
          <w:szCs w:val="24"/>
          <w:lang w:eastAsia="es-CO"/>
        </w:rPr>
        <w:t>(Subrayado fuera de texto).</w:t>
      </w:r>
    </w:p>
    <w:p w14:paraId="1A587AC3"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4F6A388C"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Por lo anterior, es menester comprender que una fundación colombiana </w:t>
      </w:r>
      <w:r w:rsidRPr="00836939">
        <w:rPr>
          <w:rFonts w:eastAsia="Times New Roman" w:cs="Times New Roman"/>
          <w:color w:val="555555"/>
          <w:szCs w:val="24"/>
          <w:u w:val="single"/>
          <w:lang w:eastAsia="es-CO"/>
        </w:rPr>
        <w:t>no</w:t>
      </w:r>
      <w:r w:rsidRPr="00836939">
        <w:rPr>
          <w:rFonts w:eastAsia="Times New Roman" w:cs="Times New Roman"/>
          <w:color w:val="555555"/>
          <w:szCs w:val="24"/>
          <w:lang w:eastAsia="es-CO"/>
        </w:rPr>
        <w:t> encaja dentro del concepto de “entidades” a que hace referencia el numeral 1 del artículo 894 </w:t>
      </w:r>
      <w:proofErr w:type="spellStart"/>
      <w:r w:rsidRPr="00836939">
        <w:rPr>
          <w:rFonts w:eastAsia="Times New Roman" w:cs="Times New Roman"/>
          <w:i/>
          <w:iCs/>
          <w:color w:val="555555"/>
          <w:szCs w:val="24"/>
          <w:lang w:eastAsia="es-CO"/>
        </w:rPr>
        <w:t>ibídem</w:t>
      </w:r>
      <w:proofErr w:type="spellEnd"/>
      <w:r w:rsidRPr="00836939">
        <w:rPr>
          <w:rFonts w:eastAsia="Times New Roman" w:cs="Times New Roman"/>
          <w:i/>
          <w:iCs/>
          <w:color w:val="555555"/>
          <w:szCs w:val="24"/>
          <w:lang w:eastAsia="es-CO"/>
        </w:rPr>
        <w:t> </w:t>
      </w:r>
      <w:r w:rsidRPr="00836939">
        <w:rPr>
          <w:rFonts w:eastAsia="Times New Roman" w:cs="Times New Roman"/>
          <w:color w:val="555555"/>
          <w:szCs w:val="24"/>
          <w:lang w:eastAsia="es-CO"/>
        </w:rPr>
        <w:t>para efectos del régimen CHC, ya que, quien ostente la calidad de miembro fundador de la misma carece de una inversión en su capital que le permita gozar de un reparto de utilidades o recuperar los aportes realizados ante su liquidación; en otras palabras, no posee una participación en la misma.</w:t>
      </w:r>
    </w:p>
    <w:p w14:paraId="3908250E" w14:textId="77777777" w:rsidR="00836939" w:rsidRPr="00836939" w:rsidRDefault="00836939" w:rsidP="00836939">
      <w:pPr>
        <w:spacing w:after="150" w:line="360" w:lineRule="auto"/>
        <w:rPr>
          <w:rFonts w:eastAsia="Times New Roman" w:cs="Times New Roman"/>
          <w:color w:val="555555"/>
          <w:szCs w:val="24"/>
          <w:lang w:eastAsia="es-CO"/>
        </w:rPr>
      </w:pPr>
      <w:r w:rsidRPr="00836939">
        <w:rPr>
          <w:rFonts w:eastAsia="Times New Roman" w:cs="Times New Roman"/>
          <w:color w:val="555555"/>
          <w:szCs w:val="24"/>
          <w:lang w:eastAsia="es-CO"/>
        </w:rPr>
        <w:t> </w:t>
      </w:r>
    </w:p>
    <w:p w14:paraId="08826DE5"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Así las cosas, en la hipótesis consultada, la sociedad nacional (A) no puede acogerse al régimen en comento, ya que para ello se exige una participación -directa o indirecta- de al menos el 10% en el capital </w:t>
      </w:r>
      <w:r w:rsidRPr="00836939">
        <w:rPr>
          <w:rFonts w:eastAsia="Times New Roman" w:cs="Times New Roman"/>
          <w:i/>
          <w:iCs/>
          <w:color w:val="555555"/>
          <w:szCs w:val="24"/>
          <w:lang w:eastAsia="es-CO"/>
        </w:rPr>
        <w:t>“de </w:t>
      </w:r>
      <w:r w:rsidRPr="00836939">
        <w:rPr>
          <w:rFonts w:eastAsia="Times New Roman" w:cs="Times New Roman"/>
          <w:i/>
          <w:iCs/>
          <w:color w:val="555555"/>
          <w:szCs w:val="24"/>
          <w:u w:val="single"/>
          <w:lang w:eastAsia="es-CO"/>
        </w:rPr>
        <w:t>dos o más</w:t>
      </w:r>
      <w:r w:rsidRPr="00836939">
        <w:rPr>
          <w:rFonts w:eastAsia="Times New Roman" w:cs="Times New Roman"/>
          <w:i/>
          <w:iCs/>
          <w:color w:val="555555"/>
          <w:szCs w:val="24"/>
          <w:lang w:eastAsia="es-CO"/>
        </w:rPr>
        <w:t> sociedades o entidades colombianas y/o extranjeras por un período mínimo de 12 meses” </w:t>
      </w:r>
      <w:r w:rsidRPr="00836939">
        <w:rPr>
          <w:rFonts w:eastAsia="Times New Roman" w:cs="Times New Roman"/>
          <w:color w:val="555555"/>
          <w:szCs w:val="24"/>
          <w:lang w:eastAsia="es-CO"/>
        </w:rPr>
        <w:t>(subrayado fuera de texto).</w:t>
      </w:r>
    </w:p>
    <w:p w14:paraId="0EBE9B93"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4162FE6A"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Precisamente, sin entrar en el detalle sobre si dicha sociedad nacional tiene por actividad principal </w:t>
      </w:r>
      <w:r w:rsidRPr="00836939">
        <w:rPr>
          <w:rFonts w:eastAsia="Times New Roman" w:cs="Times New Roman"/>
          <w:i/>
          <w:iCs/>
          <w:color w:val="555555"/>
          <w:szCs w:val="24"/>
          <w:lang w:eastAsia="es-CO"/>
        </w:rPr>
        <w:t>“la tenencia de valores, la inversión o holding de acciones o participaciones en sociedades o entidades colombianas y/o del exterior, y/o la administración de dichas inversiones”</w:t>
      </w:r>
      <w:r w:rsidRPr="00836939">
        <w:rPr>
          <w:rFonts w:eastAsia="Times New Roman" w:cs="Times New Roman"/>
          <w:color w:val="555555"/>
          <w:szCs w:val="24"/>
          <w:lang w:eastAsia="es-CO"/>
        </w:rPr>
        <w:t>, esta solo poseería una participación (directa) mayor al 10% en el capital de otra sociedad nacional (B).</w:t>
      </w:r>
    </w:p>
    <w:p w14:paraId="0DC70233"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34AB45F9"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29A82EEF"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Atentamente,</w:t>
      </w:r>
    </w:p>
    <w:p w14:paraId="341D599F"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 </w:t>
      </w:r>
    </w:p>
    <w:p w14:paraId="6503F796"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lastRenderedPageBreak/>
        <w:t> </w:t>
      </w:r>
    </w:p>
    <w:p w14:paraId="643E12A0"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b/>
          <w:bCs/>
          <w:color w:val="555555"/>
          <w:szCs w:val="24"/>
          <w:lang w:eastAsia="es-CO"/>
        </w:rPr>
        <w:t>NICOLÁS BERNAL ABELLA</w:t>
      </w:r>
    </w:p>
    <w:p w14:paraId="3C5D7BDC"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Subdirector de Normativa y Doctrina (E)</w:t>
      </w:r>
    </w:p>
    <w:p w14:paraId="69658ACD" w14:textId="77777777" w:rsidR="00836939" w:rsidRPr="00836939" w:rsidRDefault="00836939" w:rsidP="00836939">
      <w:pPr>
        <w:spacing w:after="150" w:line="360" w:lineRule="auto"/>
        <w:jc w:val="both"/>
        <w:rPr>
          <w:rFonts w:eastAsia="Times New Roman" w:cs="Times New Roman"/>
          <w:color w:val="555555"/>
          <w:szCs w:val="24"/>
          <w:lang w:eastAsia="es-CO"/>
        </w:rPr>
      </w:pPr>
      <w:r w:rsidRPr="00836939">
        <w:rPr>
          <w:rFonts w:eastAsia="Times New Roman" w:cs="Times New Roman"/>
          <w:color w:val="555555"/>
          <w:szCs w:val="24"/>
          <w:lang w:eastAsia="es-CO"/>
        </w:rPr>
        <w:t>Dirección de Gestión Jurídica</w:t>
      </w:r>
    </w:p>
    <w:p w14:paraId="778AB92E" w14:textId="77777777" w:rsidR="00836939" w:rsidRPr="00836939" w:rsidRDefault="00836939" w:rsidP="00836939">
      <w:pPr>
        <w:spacing w:after="0" w:line="360" w:lineRule="auto"/>
        <w:rPr>
          <w:rFonts w:eastAsia="Times New Roman" w:cs="Times New Roman"/>
          <w:color w:val="555555"/>
          <w:szCs w:val="24"/>
          <w:lang w:eastAsia="es-CO"/>
        </w:rPr>
      </w:pPr>
      <w:r w:rsidRPr="00836939">
        <w:rPr>
          <w:rFonts w:eastAsia="Times New Roman" w:cs="Times New Roman"/>
          <w:color w:val="555555"/>
          <w:szCs w:val="24"/>
          <w:lang w:eastAsia="es-CO"/>
        </w:rPr>
        <w:t>UAE-Dirección de Impuestos y Aduanas Nacionales</w:t>
      </w:r>
    </w:p>
    <w:sectPr w:rsidR="00836939" w:rsidRPr="0083693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9"/>
    <w:rsid w:val="000F3837"/>
    <w:rsid w:val="001E311E"/>
    <w:rsid w:val="00434AE6"/>
    <w:rsid w:val="007F5CC8"/>
    <w:rsid w:val="00836939"/>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2D49"/>
  <w15:chartTrackingRefBased/>
  <w15:docId w15:val="{AEE35755-6736-4798-80FD-CFA9FB7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2022-06-18T17:46:00Z</dcterms:created>
  <dcterms:modified xsi:type="dcterms:W3CDTF">2022-06-18T17:48:00Z</dcterms:modified>
</cp:coreProperties>
</file>